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46" w:rsidRDefault="00E85A6E">
      <w:pPr>
        <w:jc w:val="center"/>
        <w:rPr>
          <w:rFonts w:ascii="游ゴシック" w:eastAsia="游ゴシック" w:hAnsi="游ゴシック"/>
          <w:b/>
          <w:sz w:val="32"/>
          <w:szCs w:val="28"/>
        </w:rPr>
      </w:pPr>
      <w:r>
        <w:rPr>
          <w:rFonts w:ascii="游ゴシック" w:eastAsia="游ゴシック" w:hAnsi="游ゴシック" w:hint="eastAsia"/>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4768215</wp:posOffset>
                </wp:positionH>
                <wp:positionV relativeFrom="paragraph">
                  <wp:posOffset>-536575</wp:posOffset>
                </wp:positionV>
                <wp:extent cx="914400" cy="428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14400" cy="428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4D04D" id="正方形/長方形 4" o:spid="_x0000_s1026" style="position:absolute;left:0;text-align:left;margin-left:375.45pt;margin-top:-42.25pt;width:1in;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" filled="f" strokecolor="black [3213]" strokeweight="1pt"/>
            </w:pict>
          </mc:Fallback>
        </mc:AlternateContent>
      </w:r>
      <w:r>
        <w:rPr>
          <w:rFonts w:ascii="游ゴシック" w:eastAsia="游ゴシック" w:hAnsi="游ゴシック" w:hint="eastAsia"/>
          <w:b/>
          <w:noProof/>
          <w:sz w:val="32"/>
          <w:szCs w:val="28"/>
        </w:rPr>
        <mc:AlternateContent>
          <mc:Choice Requires="wps">
            <w:drawing>
              <wp:anchor distT="0" distB="0" distL="114300" distR="114300" simplePos="0" relativeHeight="251661312" behindDoc="0" locked="0" layoutInCell="1" allowOverlap="1">
                <wp:simplePos x="0" y="0"/>
                <wp:positionH relativeFrom="column">
                  <wp:posOffset>4730115</wp:posOffset>
                </wp:positionH>
                <wp:positionV relativeFrom="paragraph">
                  <wp:posOffset>-593725</wp:posOffset>
                </wp:positionV>
                <wp:extent cx="981075" cy="5810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81075" cy="581025"/>
                        </a:xfrm>
                        <a:prstGeom prst="rect">
                          <a:avLst/>
                        </a:prstGeom>
                        <a:solidFill>
                          <a:schemeClr val="lt1"/>
                        </a:solidFill>
                        <a:ln w="6350">
                          <a:noFill/>
                        </a:ln>
                      </wps:spPr>
                      <wps:txbx>
                        <w:txbxContent>
                          <w:p w:rsidR="00E85A6E" w:rsidRPr="00E85A6E" w:rsidRDefault="00E85A6E" w:rsidP="00E85A6E">
                            <w:pPr>
                              <w:jc w:val="center"/>
                              <w:rPr>
                                <w:rFonts w:ascii="游明朝" w:eastAsia="游明朝" w:hAnsi="游明朝" w:hint="eastAsia"/>
                                <w:sz w:val="22"/>
                              </w:rPr>
                            </w:pPr>
                            <w:r w:rsidRPr="00E85A6E">
                              <w:rPr>
                                <w:rFonts w:ascii="游明朝" w:eastAsia="游明朝" w:hAnsi="游明朝" w:hint="eastAsia"/>
                                <w:sz w:val="22"/>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2.45pt;margin-top:-46.75pt;width:77.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" fillcolor="white [3201]" stroked="f" strokeweight=".5pt">
                <v:textbox>
                  <w:txbxContent>
                    <w:p w:rsidR="00E85A6E" w:rsidRPr="00E85A6E" w:rsidRDefault="00E85A6E" w:rsidP="00E85A6E">
                      <w:pPr>
                        <w:jc w:val="center"/>
                        <w:rPr>
                          <w:rFonts w:ascii="游明朝" w:eastAsia="游明朝" w:hAnsi="游明朝" w:hint="eastAsia"/>
                          <w:sz w:val="22"/>
                        </w:rPr>
                      </w:pPr>
                      <w:r w:rsidRPr="00E85A6E">
                        <w:rPr>
                          <w:rFonts w:ascii="游明朝" w:eastAsia="游明朝" w:hAnsi="游明朝" w:hint="eastAsia"/>
                          <w:sz w:val="22"/>
                        </w:rPr>
                        <w:t>資料１－１</w:t>
                      </w:r>
                    </w:p>
                  </w:txbxContent>
                </v:textbox>
              </v:shape>
            </w:pict>
          </mc:Fallback>
        </mc:AlternateContent>
      </w:r>
      <w:r>
        <w:rPr>
          <w:rFonts w:ascii="游ゴシック" w:eastAsia="游ゴシック" w:hAnsi="游ゴシック" w:hint="eastAsia"/>
          <w:b/>
          <w:sz w:val="32"/>
          <w:szCs w:val="28"/>
        </w:rPr>
        <w:t>品川区地域自立支援協議会について</w:t>
      </w:r>
    </w:p>
    <w:p w:rsidR="00AC6446" w:rsidRDefault="00E85A6E">
      <w:pPr>
        <w:snapToGrid w:val="0"/>
        <w:rPr>
          <w:rFonts w:ascii="游ゴシック" w:eastAsia="游ゴシック" w:hAnsi="游ゴシック"/>
          <w:b/>
          <w:sz w:val="26"/>
          <w:szCs w:val="26"/>
        </w:rPr>
      </w:pPr>
      <w:r>
        <w:rPr>
          <w:rFonts w:ascii="游ゴシック" w:eastAsia="游ゴシック" w:hAnsi="游ゴシック" w:hint="eastAsia"/>
          <w:b/>
          <w:sz w:val="26"/>
          <w:szCs w:val="26"/>
        </w:rPr>
        <w:t>１．設置目的および内容</w:t>
      </w:r>
      <w:bookmarkStart w:id="0" w:name="_GoBack"/>
      <w:bookmarkEnd w:id="0"/>
    </w:p>
    <w:p w:rsidR="00AC6446" w:rsidRDefault="00E85A6E">
      <w:pPr>
        <w:snapToGrid w:val="0"/>
        <w:spacing w:line="100" w:lineRule="atLeast"/>
        <w:ind w:rightChars="201" w:right="422" w:firstLineChars="200" w:firstLine="480"/>
        <w:rPr>
          <w:rFonts w:ascii="ＭＳ 明朝" w:eastAsia="ＭＳ 明朝" w:hAnsi="ＭＳ 明朝"/>
          <w:sz w:val="24"/>
          <w:szCs w:val="24"/>
        </w:rPr>
      </w:pPr>
      <w:r>
        <w:rPr>
          <w:rFonts w:ascii="ＭＳ 明朝" w:eastAsia="ＭＳ 明朝" w:hAnsi="ＭＳ 明朝" w:hint="eastAsia"/>
          <w:sz w:val="24"/>
          <w:szCs w:val="24"/>
        </w:rPr>
        <w:t>品川区の障害児者等への支援体制の充実を図るため、障害者総合支援法第８９条の３に基づく「品川区地域自立支援協議会」（以下、協議会という。）を設置している。協議会は、関係機関等が相互の連携を図り、地域における障害児者等への支援体制に関する課題について情報を共有し、地域の実情に応じた支援について協議する。</w:t>
      </w:r>
    </w:p>
    <w:p w:rsidR="00AC6446" w:rsidRDefault="00E85A6E">
      <w:pPr>
        <w:spacing w:line="100" w:lineRule="atLeast"/>
        <w:ind w:rightChars="201" w:right="422" w:firstLineChars="200" w:firstLine="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9525</wp:posOffset>
                </wp:positionV>
                <wp:extent cx="5200650" cy="2638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00650" cy="2638425"/>
                        </a:xfrm>
                        <a:prstGeom prst="rect">
                          <a:avLst/>
                        </a:prstGeom>
                        <a:noFill/>
                        <a:ln w="6350">
                          <a:solidFill>
                            <a:prstClr val="black"/>
                          </a:solidFill>
                        </a:ln>
                      </wps:spPr>
                      <wps:txbx>
                        <w:txbxContent>
                          <w:p w:rsidR="00AC6446" w:rsidRDefault="00E85A6E">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≪参考≫　</w:t>
                            </w:r>
                            <w:r>
                              <w:rPr>
                                <w:rFonts w:ascii="ＭＳ ゴシック" w:eastAsia="ＭＳ ゴシック" w:hAnsi="ＭＳ ゴシック" w:hint="eastAsia"/>
                                <w:sz w:val="24"/>
                                <w:szCs w:val="24"/>
                                <w:u w:val="single"/>
                              </w:rPr>
                              <w:t>障害者総合支援法第８９条の３</w:t>
                            </w:r>
                          </w:p>
                          <w:p w:rsidR="00AC6446" w:rsidRDefault="00E85A6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（協議会の設置）</w:t>
                            </w:r>
                          </w:p>
                          <w:p w:rsidR="00AC6446" w:rsidRDefault="00E85A6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地方公共団体は、単独で又は共同して、障害者等への支援の体制の整備を図るため、</w:t>
                            </w:r>
                            <w:r>
                              <w:rPr>
                                <w:rFonts w:ascii="ＭＳ ゴシック" w:eastAsia="ＭＳ ゴシック" w:hAnsi="ＭＳ ゴシック"/>
                                <w:sz w:val="24"/>
                                <w:szCs w:val="24"/>
                              </w:rPr>
                              <w:t>関係機関、関係団体並びに障害者等及び</w:t>
                            </w:r>
                            <w:r>
                              <w:rPr>
                                <w:rFonts w:ascii="ＭＳ ゴシック" w:eastAsia="ＭＳ ゴシック" w:hAnsi="ＭＳ ゴシック" w:hint="eastAsia"/>
                                <w:sz w:val="24"/>
                                <w:szCs w:val="24"/>
                              </w:rPr>
                              <w:t>その</w:t>
                            </w:r>
                            <w:r>
                              <w:rPr>
                                <w:rFonts w:ascii="ＭＳ ゴシック" w:eastAsia="ＭＳ ゴシック" w:hAnsi="ＭＳ ゴシック"/>
                                <w:sz w:val="24"/>
                                <w:szCs w:val="24"/>
                              </w:rPr>
                              <w:t>家族</w:t>
                            </w:r>
                            <w:r>
                              <w:rPr>
                                <w:rFonts w:ascii="ＭＳ ゴシック" w:eastAsia="ＭＳ ゴシック" w:hAnsi="ＭＳ ゴシック" w:hint="eastAsia"/>
                                <w:sz w:val="24"/>
                                <w:szCs w:val="24"/>
                              </w:rPr>
                              <w:t>並びに</w:t>
                            </w:r>
                            <w:r>
                              <w:rPr>
                                <w:rFonts w:ascii="ＭＳ ゴシック" w:eastAsia="ＭＳ ゴシック" w:hAnsi="ＭＳ ゴシック"/>
                                <w:sz w:val="24"/>
                                <w:szCs w:val="24"/>
                              </w:rPr>
                              <w:t>障害者等の福祉、医療、教育又は雇用に関連する職務に</w:t>
                            </w:r>
                            <w:r>
                              <w:rPr>
                                <w:rFonts w:ascii="ＭＳ ゴシック" w:eastAsia="ＭＳ ゴシック" w:hAnsi="ＭＳ ゴシック" w:hint="eastAsia"/>
                                <w:sz w:val="24"/>
                                <w:szCs w:val="24"/>
                              </w:rPr>
                              <w:t>従事する者</w:t>
                            </w:r>
                            <w:r>
                              <w:rPr>
                                <w:rFonts w:ascii="ＭＳ ゴシック" w:eastAsia="ＭＳ ゴシック" w:hAnsi="ＭＳ ゴシック"/>
                                <w:sz w:val="24"/>
                                <w:szCs w:val="24"/>
                              </w:rPr>
                              <w:t>その他の関係者（</w:t>
                            </w:r>
                            <w:r>
                              <w:rPr>
                                <w:rFonts w:ascii="ＭＳ ゴシック" w:eastAsia="ＭＳ ゴシック" w:hAnsi="ＭＳ ゴシック" w:hint="eastAsia"/>
                                <w:sz w:val="24"/>
                                <w:szCs w:val="24"/>
                              </w:rPr>
                              <w:t>次項</w:t>
                            </w:r>
                            <w:r>
                              <w:rPr>
                                <w:rFonts w:ascii="ＭＳ ゴシック" w:eastAsia="ＭＳ ゴシック" w:hAnsi="ＭＳ ゴシック"/>
                                <w:sz w:val="24"/>
                                <w:szCs w:val="24"/>
                              </w:rPr>
                              <w:t>において「関係機関</w:t>
                            </w:r>
                            <w:r>
                              <w:rPr>
                                <w:rFonts w:ascii="ＭＳ ゴシック" w:eastAsia="ＭＳ ゴシック" w:hAnsi="ＭＳ ゴシック" w:hint="eastAsia"/>
                                <w:sz w:val="24"/>
                                <w:szCs w:val="24"/>
                              </w:rPr>
                              <w:t>等</w:t>
                            </w:r>
                            <w:r>
                              <w:rPr>
                                <w:rFonts w:ascii="ＭＳ ゴシック" w:eastAsia="ＭＳ ゴシック" w:hAnsi="ＭＳ ゴシック"/>
                                <w:sz w:val="24"/>
                                <w:szCs w:val="24"/>
                              </w:rPr>
                              <w:t>」という。）</w:t>
                            </w:r>
                            <w:r>
                              <w:rPr>
                                <w:rFonts w:ascii="ＭＳ ゴシック" w:eastAsia="ＭＳ ゴシック" w:hAnsi="ＭＳ ゴシック" w:hint="eastAsia"/>
                                <w:sz w:val="24"/>
                                <w:szCs w:val="24"/>
                              </w:rPr>
                              <w:t>に</w:t>
                            </w:r>
                            <w:r>
                              <w:rPr>
                                <w:rFonts w:ascii="ＭＳ ゴシック" w:eastAsia="ＭＳ ゴシック" w:hAnsi="ＭＳ ゴシック"/>
                                <w:sz w:val="24"/>
                                <w:szCs w:val="24"/>
                              </w:rPr>
                              <w:t>より構成される協議会を</w:t>
                            </w:r>
                            <w:r>
                              <w:rPr>
                                <w:rFonts w:ascii="ＭＳ ゴシック" w:eastAsia="ＭＳ ゴシック" w:hAnsi="ＭＳ ゴシック" w:hint="eastAsia"/>
                                <w:sz w:val="24"/>
                                <w:szCs w:val="24"/>
                              </w:rPr>
                              <w:t>置くように</w:t>
                            </w:r>
                            <w:r>
                              <w:rPr>
                                <w:rFonts w:ascii="ＭＳ ゴシック" w:eastAsia="ＭＳ ゴシック" w:hAnsi="ＭＳ ゴシック"/>
                                <w:sz w:val="24"/>
                                <w:szCs w:val="24"/>
                              </w:rPr>
                              <w:t>努めなければならない。</w:t>
                            </w:r>
                          </w:p>
                          <w:p w:rsidR="00AC6446" w:rsidRDefault="00E85A6E">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 xml:space="preserve">　前項の協議会は、関係機関等が相互の連絡を図ることにより、地域における障害者等への支援体制に関する課題について情報を共有し</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関係機関等の連携</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緊密化を図</w:t>
                            </w:r>
                            <w:r>
                              <w:rPr>
                                <w:rFonts w:ascii="ＭＳ ゴシック" w:eastAsia="ＭＳ ゴシック" w:hAnsi="ＭＳ ゴシック"/>
                                <w:sz w:val="24"/>
                                <w:szCs w:val="24"/>
                              </w:rPr>
                              <w:t>るとともに、地域の実情に応じた体制</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整備について協議を行う</w:t>
                            </w:r>
                            <w:r>
                              <w:rPr>
                                <w:rFonts w:ascii="ＭＳ ゴシック" w:eastAsia="ＭＳ ゴシック" w:hAnsi="ＭＳ ゴシック" w:hint="eastAsia"/>
                                <w:sz w:val="24"/>
                                <w:szCs w:val="24"/>
                              </w:rPr>
                              <w:t>もの</w:t>
                            </w:r>
                            <w:r>
                              <w:rPr>
                                <w:rFonts w:ascii="ＭＳ ゴシック" w:eastAsia="ＭＳ ゴシック" w:hAnsi="ＭＳ ゴシック"/>
                                <w:sz w:val="24"/>
                                <w:szCs w:val="24"/>
                              </w:rPr>
                              <w:t>とする。</w:t>
                            </w:r>
                          </w:p>
                          <w:p w:rsidR="00AC6446" w:rsidRDefault="00AC6446">
                            <w:pPr>
                              <w:rPr>
                                <w:rFonts w:ascii="ＭＳ ゴシック" w:eastAsia="ＭＳ ゴシック" w:hAnsi="ＭＳ ゴシック"/>
                                <w:sz w:val="24"/>
                                <w:szCs w:val="24"/>
                              </w:rPr>
                            </w:pPr>
                          </w:p>
                          <w:p w:rsidR="00AC6446" w:rsidRDefault="00AC6446">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pt;margin-top:.75pt;width:409.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" filled="f" strokeweight=".5pt">
                <v:textbox>
                  <w:txbxContent>
                    <w:p>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≪参考≫　</w:t>
                      </w:r>
                      <w:r>
                        <w:rPr>
                          <w:rFonts w:ascii="ＭＳ ゴシック" w:eastAsia="ＭＳ ゴシック" w:hAnsi="ＭＳ ゴシック" w:hint="eastAsia"/>
                          <w:sz w:val="24"/>
                          <w:szCs w:val="24"/>
                          <w:u w:val="single"/>
                        </w:rPr>
                        <w:t>障害者総合支援法第８９条の３</w:t>
                      </w:r>
                    </w:p>
                    <w:p>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（協議会の設置）</w:t>
                      </w:r>
                    </w:p>
                    <w:p>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地方公共団体は、単独で又は共同して、障害者等への支援の体制の整備を図るため</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関係機関、関係団体並びに障害者等及び</w:t>
                      </w:r>
                      <w:r>
                        <w:rPr>
                          <w:rFonts w:ascii="ＭＳ ゴシック" w:eastAsia="ＭＳ ゴシック" w:hAnsi="ＭＳ ゴシック" w:hint="eastAsia"/>
                          <w:sz w:val="24"/>
                          <w:szCs w:val="24"/>
                        </w:rPr>
                        <w:t>その</w:t>
                      </w:r>
                      <w:r>
                        <w:rPr>
                          <w:rFonts w:ascii="ＭＳ ゴシック" w:eastAsia="ＭＳ ゴシック" w:hAnsi="ＭＳ ゴシック"/>
                          <w:sz w:val="24"/>
                          <w:szCs w:val="24"/>
                        </w:rPr>
                        <w:t>家族</w:t>
                      </w:r>
                      <w:r>
                        <w:rPr>
                          <w:rFonts w:ascii="ＭＳ ゴシック" w:eastAsia="ＭＳ ゴシック" w:hAnsi="ＭＳ ゴシック" w:hint="eastAsia"/>
                          <w:sz w:val="24"/>
                          <w:szCs w:val="24"/>
                        </w:rPr>
                        <w:t>並びに</w:t>
                      </w:r>
                      <w:r>
                        <w:rPr>
                          <w:rFonts w:ascii="ＭＳ ゴシック" w:eastAsia="ＭＳ ゴシック" w:hAnsi="ＭＳ ゴシック"/>
                          <w:sz w:val="24"/>
                          <w:szCs w:val="24"/>
                        </w:rPr>
                        <w:t>障害者等の福祉、医療、教育又は雇用に関連する職務に</w:t>
                      </w:r>
                      <w:r>
                        <w:rPr>
                          <w:rFonts w:ascii="ＭＳ ゴシック" w:eastAsia="ＭＳ ゴシック" w:hAnsi="ＭＳ ゴシック" w:hint="eastAsia"/>
                          <w:sz w:val="24"/>
                          <w:szCs w:val="24"/>
                        </w:rPr>
                        <w:t>従事する者</w:t>
                      </w:r>
                      <w:r>
                        <w:rPr>
                          <w:rFonts w:ascii="ＭＳ ゴシック" w:eastAsia="ＭＳ ゴシック" w:hAnsi="ＭＳ ゴシック"/>
                          <w:sz w:val="24"/>
                          <w:szCs w:val="24"/>
                        </w:rPr>
                        <w:t>その他の関係者（</w:t>
                      </w:r>
                      <w:r>
                        <w:rPr>
                          <w:rFonts w:ascii="ＭＳ ゴシック" w:eastAsia="ＭＳ ゴシック" w:hAnsi="ＭＳ ゴシック" w:hint="eastAsia"/>
                          <w:sz w:val="24"/>
                          <w:szCs w:val="24"/>
                        </w:rPr>
                        <w:t>次項</w:t>
                      </w:r>
                      <w:r>
                        <w:rPr>
                          <w:rFonts w:ascii="ＭＳ ゴシック" w:eastAsia="ＭＳ ゴシック" w:hAnsi="ＭＳ ゴシック"/>
                          <w:sz w:val="24"/>
                          <w:szCs w:val="24"/>
                        </w:rPr>
                        <w:t>において「関係機関</w:t>
                      </w:r>
                      <w:r>
                        <w:rPr>
                          <w:rFonts w:ascii="ＭＳ ゴシック" w:eastAsia="ＭＳ ゴシック" w:hAnsi="ＭＳ ゴシック" w:hint="eastAsia"/>
                          <w:sz w:val="24"/>
                          <w:szCs w:val="24"/>
                        </w:rPr>
                        <w:t>等</w:t>
                      </w:r>
                      <w:r>
                        <w:rPr>
                          <w:rFonts w:ascii="ＭＳ ゴシック" w:eastAsia="ＭＳ ゴシック" w:hAnsi="ＭＳ ゴシック"/>
                          <w:sz w:val="24"/>
                          <w:szCs w:val="24"/>
                        </w:rPr>
                        <w:t>」という。）</w:t>
                      </w:r>
                      <w:r>
                        <w:rPr>
                          <w:rFonts w:ascii="ＭＳ ゴシック" w:eastAsia="ＭＳ ゴシック" w:hAnsi="ＭＳ ゴシック" w:hint="eastAsia"/>
                          <w:sz w:val="24"/>
                          <w:szCs w:val="24"/>
                        </w:rPr>
                        <w:t>に</w:t>
                      </w:r>
                      <w:r>
                        <w:rPr>
                          <w:rFonts w:ascii="ＭＳ ゴシック" w:eastAsia="ＭＳ ゴシック" w:hAnsi="ＭＳ ゴシック"/>
                          <w:sz w:val="24"/>
                          <w:szCs w:val="24"/>
                        </w:rPr>
                        <w:t>より構成される協議会を</w:t>
                      </w:r>
                      <w:r>
                        <w:rPr>
                          <w:rFonts w:ascii="ＭＳ ゴシック" w:eastAsia="ＭＳ ゴシック" w:hAnsi="ＭＳ ゴシック" w:hint="eastAsia"/>
                          <w:sz w:val="24"/>
                          <w:szCs w:val="24"/>
                        </w:rPr>
                        <w:t>置くように</w:t>
                      </w:r>
                      <w:r>
                        <w:rPr>
                          <w:rFonts w:ascii="ＭＳ ゴシック" w:eastAsia="ＭＳ ゴシック" w:hAnsi="ＭＳ ゴシック"/>
                          <w:sz w:val="24"/>
                          <w:szCs w:val="24"/>
                        </w:rPr>
                        <w:t>努めなければならない。</w:t>
                      </w:r>
                    </w:p>
                    <w:p>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 xml:space="preserve">　前項の協議会は、関係機関等が相互の連絡を図ることにより、地域における障害者等への支援体制に関する課題について情報を共有し</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関係機関等の連携</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緊密化を図るとともに、地域の実情に応じた体制</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整備について協議を行う</w:t>
                      </w:r>
                      <w:r>
                        <w:rPr>
                          <w:rFonts w:ascii="ＭＳ ゴシック" w:eastAsia="ＭＳ ゴシック" w:hAnsi="ＭＳ ゴシック" w:hint="eastAsia"/>
                          <w:sz w:val="24"/>
                          <w:szCs w:val="24"/>
                        </w:rPr>
                        <w:t>もの</w:t>
                      </w:r>
                      <w:r>
                        <w:rPr>
                          <w:rFonts w:ascii="ＭＳ ゴシック" w:eastAsia="ＭＳ ゴシック" w:hAnsi="ＭＳ ゴシック"/>
                          <w:sz w:val="24"/>
                          <w:szCs w:val="24"/>
                        </w:rPr>
                        <w:t>とする。</w:t>
                      </w:r>
                    </w:p>
                    <w:p>
                      <w:pPr>
                        <w:rPr>
                          <w:rFonts w:ascii="ＭＳ ゴシック" w:eastAsia="ＭＳ ゴシック" w:hAnsi="ＭＳ ゴシック"/>
                          <w:sz w:val="24"/>
                          <w:szCs w:val="24"/>
                        </w:rPr>
                      </w:pPr>
                    </w:p>
                    <w:p>
                      <w:pPr>
                        <w:rPr>
                          <w:rFonts w:ascii="ＭＳ ゴシック" w:eastAsia="ＭＳ ゴシック" w:hAnsi="ＭＳ ゴシック"/>
                        </w:rPr>
                      </w:pPr>
                    </w:p>
                  </w:txbxContent>
                </v:textbox>
              </v:shape>
            </w:pict>
          </mc:Fallback>
        </mc:AlternateContent>
      </w: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明朝" w:eastAsia="ＭＳ 明朝" w:hAnsi="ＭＳ 明朝"/>
          <w:sz w:val="24"/>
          <w:szCs w:val="24"/>
        </w:rPr>
      </w:pPr>
    </w:p>
    <w:p w:rsidR="00AC6446" w:rsidRDefault="00AC6446">
      <w:pPr>
        <w:spacing w:line="100" w:lineRule="atLeast"/>
        <w:ind w:rightChars="201" w:right="422"/>
        <w:rPr>
          <w:rFonts w:ascii="ＭＳ 明朝" w:eastAsia="ＭＳ 明朝" w:hAnsi="ＭＳ 明朝"/>
          <w:sz w:val="24"/>
          <w:szCs w:val="24"/>
        </w:rPr>
      </w:pPr>
    </w:p>
    <w:p w:rsidR="00AC6446" w:rsidRDefault="00E85A6E">
      <w:pPr>
        <w:spacing w:line="100" w:lineRule="atLeast"/>
        <w:ind w:rightChars="201" w:right="422"/>
        <w:rPr>
          <w:rFonts w:ascii="ＭＳ 明朝" w:eastAsia="ＭＳ 明朝" w:hAnsi="ＭＳ 明朝"/>
          <w:sz w:val="24"/>
          <w:szCs w:val="24"/>
        </w:rPr>
      </w:pPr>
      <w:r>
        <w:rPr>
          <w:rFonts w:ascii="ＭＳ 明朝" w:eastAsia="ＭＳ 明朝" w:hAnsi="ＭＳ 明朝" w:hint="eastAsia"/>
          <w:sz w:val="24"/>
          <w:szCs w:val="24"/>
        </w:rPr>
        <w:t>協議会の検討事項は下記のとおり</w:t>
      </w:r>
    </w:p>
    <w:p w:rsidR="00AC6446" w:rsidRDefault="00E85A6E">
      <w:pPr>
        <w:spacing w:line="100" w:lineRule="atLeast"/>
        <w:ind w:rightChars="201" w:right="422"/>
        <w:rPr>
          <w:rFonts w:ascii="ＭＳ 明朝" w:eastAsia="ＭＳ 明朝" w:hAnsi="ＭＳ 明朝"/>
          <w:sz w:val="24"/>
          <w:szCs w:val="24"/>
        </w:rPr>
      </w:pPr>
      <w:r>
        <w:rPr>
          <w:rFonts w:ascii="ＭＳ 明朝" w:eastAsia="ＭＳ 明朝" w:hAnsi="ＭＳ 明朝" w:hint="eastAsia"/>
          <w:sz w:val="24"/>
          <w:szCs w:val="24"/>
        </w:rPr>
        <w:t>（１）地域の相談支援について</w:t>
      </w:r>
    </w:p>
    <w:p w:rsidR="00AC6446" w:rsidRDefault="00E85A6E">
      <w:pPr>
        <w:spacing w:line="100" w:lineRule="atLeast"/>
        <w:ind w:rightChars="201" w:right="422"/>
        <w:rPr>
          <w:rFonts w:ascii="ＭＳ 明朝" w:eastAsia="ＭＳ 明朝" w:hAnsi="ＭＳ 明朝"/>
          <w:sz w:val="24"/>
          <w:szCs w:val="24"/>
        </w:rPr>
      </w:pPr>
      <w:r>
        <w:rPr>
          <w:rFonts w:ascii="ＭＳ 明朝" w:eastAsia="ＭＳ 明朝" w:hAnsi="ＭＳ 明朝" w:hint="eastAsia"/>
          <w:sz w:val="24"/>
          <w:szCs w:val="24"/>
        </w:rPr>
        <w:t>（２）地域の関係機関との連携について</w:t>
      </w:r>
    </w:p>
    <w:p w:rsidR="00AC6446" w:rsidRDefault="00E85A6E">
      <w:pPr>
        <w:spacing w:line="100" w:lineRule="atLeast"/>
        <w:ind w:rightChars="201" w:right="422"/>
        <w:rPr>
          <w:rFonts w:ascii="ＭＳ 明朝" w:eastAsia="ＭＳ 明朝" w:hAnsi="ＭＳ 明朝"/>
          <w:sz w:val="24"/>
          <w:szCs w:val="24"/>
        </w:rPr>
      </w:pPr>
      <w:r>
        <w:rPr>
          <w:rFonts w:ascii="ＭＳ 明朝" w:eastAsia="ＭＳ 明朝" w:hAnsi="ＭＳ 明朝" w:hint="eastAsia"/>
          <w:sz w:val="24"/>
          <w:szCs w:val="24"/>
        </w:rPr>
        <w:t>（３）地域における障害児者等への支援にあたっての課題について情報共有</w:t>
      </w:r>
    </w:p>
    <w:p w:rsidR="00AC6446" w:rsidRDefault="00E85A6E">
      <w:pPr>
        <w:spacing w:line="100" w:lineRule="atLeast"/>
        <w:ind w:rightChars="201" w:right="422"/>
        <w:rPr>
          <w:rFonts w:ascii="ＭＳ 明朝" w:eastAsia="ＭＳ 明朝" w:hAnsi="ＭＳ 明朝"/>
          <w:sz w:val="24"/>
          <w:szCs w:val="24"/>
        </w:rPr>
      </w:pPr>
      <w:r>
        <w:rPr>
          <w:rFonts w:ascii="ＭＳ 明朝" w:eastAsia="ＭＳ 明朝" w:hAnsi="ＭＳ 明朝" w:hint="eastAsia"/>
          <w:sz w:val="24"/>
          <w:szCs w:val="24"/>
        </w:rPr>
        <w:t>（４）地域の実情に応じた支援体制について</w:t>
      </w:r>
    </w:p>
    <w:p w:rsidR="00AC6446" w:rsidRDefault="00E85A6E">
      <w:pPr>
        <w:spacing w:line="100" w:lineRule="atLeast"/>
        <w:ind w:rightChars="201" w:right="422"/>
        <w:rPr>
          <w:rFonts w:ascii="ＭＳ 明朝" w:eastAsia="ＭＳ 明朝" w:hAnsi="ＭＳ 明朝"/>
          <w:sz w:val="24"/>
          <w:szCs w:val="24"/>
        </w:rPr>
      </w:pPr>
      <w:r>
        <w:rPr>
          <w:rFonts w:ascii="ＭＳ 明朝" w:eastAsia="ＭＳ 明朝" w:hAnsi="ＭＳ 明朝" w:hint="eastAsia"/>
          <w:sz w:val="24"/>
          <w:szCs w:val="24"/>
        </w:rPr>
        <w:t>（５）権利擁護の推進について</w:t>
      </w:r>
    </w:p>
    <w:p w:rsidR="00AC6446" w:rsidRDefault="00AC6446">
      <w:pPr>
        <w:spacing w:line="100" w:lineRule="atLeast"/>
        <w:ind w:rightChars="201" w:right="422"/>
        <w:rPr>
          <w:rFonts w:ascii="ＭＳ 明朝" w:eastAsia="ＭＳ 明朝" w:hAnsi="ＭＳ 明朝"/>
          <w:sz w:val="24"/>
          <w:szCs w:val="24"/>
        </w:rPr>
      </w:pPr>
    </w:p>
    <w:p w:rsidR="00AC6446" w:rsidRDefault="00E85A6E">
      <w:pPr>
        <w:snapToGrid w:val="0"/>
        <w:spacing w:line="100" w:lineRule="atLeast"/>
        <w:ind w:rightChars="201" w:right="422"/>
        <w:rPr>
          <w:rFonts w:ascii="游ゴシック" w:eastAsia="游ゴシック" w:hAnsi="游ゴシック"/>
          <w:b/>
          <w:sz w:val="26"/>
          <w:szCs w:val="26"/>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227965</wp:posOffset>
                </wp:positionV>
                <wp:extent cx="5667375" cy="1362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67375" cy="1362075"/>
                        </a:xfrm>
                        <a:prstGeom prst="rect">
                          <a:avLst/>
                        </a:prstGeom>
                        <a:noFill/>
                        <a:ln w="6350">
                          <a:noFill/>
                        </a:ln>
                      </wps:spPr>
                      <wps:txbx>
                        <w:txbxContent>
                          <w:p w:rsidR="00AC6446" w:rsidRDefault="00E85A6E">
                            <w:pPr>
                              <w:spacing w:line="100" w:lineRule="atLeast"/>
                              <w:ind w:rightChars="201" w:right="422"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全体会（専門部会等での検討について情報共有する場：年に３回）、専門部会（課題に応じて、障害児者サービスに係る関係機関が参画し、具体的に個々の課題を検討する場：各部会は年に３回）、運営会議（各専門部会長と障害者支援課が、会長・副会長と相談しながら全体会や専門部会について調整する場：必要に応じて開催）を設置する。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※別紙「資料</w:t>
                            </w:r>
                            <w:r>
                              <w:rPr>
                                <w:rFonts w:ascii="ＭＳ 明朝" w:eastAsia="ＭＳ 明朝" w:hAnsi="ＭＳ 明朝"/>
                                <w:sz w:val="24"/>
                                <w:szCs w:val="24"/>
                              </w:rPr>
                              <w:t>１</w:t>
                            </w:r>
                            <w:r>
                              <w:rPr>
                                <w:rFonts w:ascii="ＭＳ 明朝" w:eastAsia="ＭＳ 明朝" w:hAnsi="ＭＳ 明朝" w:hint="eastAsia"/>
                                <w:sz w:val="24"/>
                                <w:szCs w:val="24"/>
                              </w:rPr>
                              <w:t>－２」のとおり</w:t>
                            </w:r>
                          </w:p>
                          <w:p w:rsidR="00AC6446" w:rsidRDefault="00AC64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4.95pt;margin-top:17.95pt;width:446.25pt;height:10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" filled="f" stroked="f" strokeweight=".5pt">
                <v:textbox>
                  <w:txbxContent>
                    <w:p>
                      <w:pPr>
                        <w:spacing w:line="100" w:lineRule="atLeast"/>
                        <w:ind w:rightChars="201" w:right="422"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全体会（専門部会等での検討について情報共有する場：年に３回）、専門部会（課題に応じて、障害児者サービスに係る関係機関が参画し、具体的に個々の課題を検討する場：各部会は年に３回）、運営会議（各専門部会長と障害者支援課が、会長・副会長と相談しながら全体会や専門部会について調整する場：必要に応じて開催）を設置する。</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※別紙「資料</w:t>
                      </w:r>
                      <w:r>
                        <w:rPr>
                          <w:rFonts w:ascii="ＭＳ 明朝" w:eastAsia="ＭＳ 明朝" w:hAnsi="ＭＳ 明朝"/>
                          <w:sz w:val="24"/>
                          <w:szCs w:val="24"/>
                        </w:rPr>
                        <w:t>１</w:t>
                      </w:r>
                      <w:r>
                        <w:rPr>
                          <w:rFonts w:ascii="ＭＳ 明朝" w:eastAsia="ＭＳ 明朝" w:hAnsi="ＭＳ 明朝" w:hint="eastAsia"/>
                          <w:sz w:val="24"/>
                          <w:szCs w:val="24"/>
                        </w:rPr>
                        <w:t>－</w:t>
                      </w:r>
                      <w:r>
                        <w:rPr>
                          <w:rFonts w:ascii="ＭＳ 明朝" w:eastAsia="ＭＳ 明朝" w:hAnsi="ＭＳ 明朝" w:hint="eastAsia"/>
                          <w:sz w:val="24"/>
                          <w:szCs w:val="24"/>
                        </w:rPr>
                        <w:t>２</w:t>
                      </w:r>
                      <w:r>
                        <w:rPr>
                          <w:rFonts w:ascii="ＭＳ 明朝" w:eastAsia="ＭＳ 明朝" w:hAnsi="ＭＳ 明朝" w:hint="eastAsia"/>
                          <w:sz w:val="24"/>
                          <w:szCs w:val="24"/>
                        </w:rPr>
                        <w:t>」のとおり</w:t>
                      </w:r>
                    </w:p>
                    <w:p/>
                  </w:txbxContent>
                </v:textbox>
              </v:shape>
            </w:pict>
          </mc:Fallback>
        </mc:AlternateContent>
      </w:r>
      <w:r>
        <w:rPr>
          <w:rFonts w:ascii="游ゴシック" w:eastAsia="游ゴシック" w:hAnsi="游ゴシック" w:hint="eastAsia"/>
          <w:b/>
          <w:sz w:val="26"/>
          <w:szCs w:val="26"/>
        </w:rPr>
        <w:t>２．体系について</w:t>
      </w:r>
    </w:p>
    <w:p w:rsidR="00AC6446" w:rsidRDefault="00AC6446">
      <w:pPr>
        <w:spacing w:line="100" w:lineRule="atLeast"/>
        <w:ind w:rightChars="201" w:right="422"/>
        <w:rPr>
          <w:rFonts w:ascii="ＭＳ 明朝" w:eastAsia="ＭＳ 明朝" w:hAnsi="ＭＳ 明朝"/>
          <w:sz w:val="24"/>
          <w:szCs w:val="24"/>
        </w:rPr>
      </w:pPr>
    </w:p>
    <w:p w:rsidR="00AC6446" w:rsidRDefault="00AC6446">
      <w:pPr>
        <w:spacing w:line="100" w:lineRule="atLeast"/>
        <w:ind w:rightChars="201" w:right="422" w:firstLineChars="200" w:firstLine="480"/>
        <w:rPr>
          <w:rFonts w:ascii="ＭＳ ゴシック" w:eastAsia="ＭＳ ゴシック" w:hAnsi="ＭＳ ゴシック"/>
          <w:sz w:val="24"/>
          <w:szCs w:val="24"/>
        </w:rPr>
      </w:pPr>
    </w:p>
    <w:p w:rsidR="00AC6446" w:rsidRDefault="00AC6446">
      <w:pPr>
        <w:spacing w:line="100" w:lineRule="atLeast"/>
        <w:ind w:leftChars="-67" w:left="-141" w:rightChars="-68" w:right="-143" w:firstLineChars="200" w:firstLine="480"/>
        <w:rPr>
          <w:rFonts w:ascii="ＭＳ ゴシック" w:eastAsia="ＭＳ ゴシック" w:hAnsi="ＭＳ ゴシック"/>
          <w:sz w:val="24"/>
          <w:szCs w:val="24"/>
        </w:rPr>
      </w:pPr>
    </w:p>
    <w:p w:rsidR="00AC6446" w:rsidRDefault="00AC6446">
      <w:pPr>
        <w:spacing w:line="100" w:lineRule="atLeast"/>
        <w:ind w:rightChars="201" w:right="422" w:firstLineChars="200" w:firstLine="480"/>
        <w:rPr>
          <w:rFonts w:ascii="ＭＳ ゴシック" w:eastAsia="ＭＳ ゴシック" w:hAnsi="ＭＳ ゴシック"/>
          <w:sz w:val="24"/>
          <w:szCs w:val="24"/>
        </w:rPr>
      </w:pPr>
    </w:p>
    <w:p w:rsidR="00AC6446" w:rsidRDefault="00AC6446">
      <w:pPr>
        <w:spacing w:line="100" w:lineRule="atLeast"/>
        <w:ind w:rightChars="201" w:right="422" w:firstLineChars="200" w:firstLine="480"/>
        <w:rPr>
          <w:rFonts w:ascii="ＭＳ ゴシック" w:eastAsia="ＭＳ ゴシック" w:hAnsi="ＭＳ ゴシック"/>
          <w:sz w:val="24"/>
          <w:szCs w:val="24"/>
        </w:rPr>
      </w:pPr>
    </w:p>
    <w:p w:rsidR="00AC6446" w:rsidRDefault="00AC6446">
      <w:pPr>
        <w:rPr>
          <w:rFonts w:ascii="ＭＳ ゴシック" w:eastAsia="ＭＳ ゴシック" w:hAnsi="ＭＳ ゴシック"/>
          <w:sz w:val="24"/>
          <w:szCs w:val="24"/>
        </w:rPr>
      </w:pPr>
    </w:p>
    <w:p w:rsidR="00AC6446" w:rsidRDefault="00E85A6E">
      <w:pPr>
        <w:rPr>
          <w:rFonts w:ascii="ＭＳ 明朝" w:eastAsia="ＭＳ 明朝" w:hAnsi="ＭＳ 明朝"/>
          <w:sz w:val="24"/>
          <w:szCs w:val="24"/>
        </w:rPr>
      </w:pPr>
      <w:r>
        <w:rPr>
          <w:rFonts w:ascii="ＭＳ 明朝" w:eastAsia="ＭＳ 明朝" w:hAnsi="ＭＳ 明朝" w:hint="eastAsia"/>
          <w:sz w:val="24"/>
          <w:szCs w:val="24"/>
        </w:rPr>
        <w:t>３．スケジュール</w:t>
      </w:r>
    </w:p>
    <w:p w:rsidR="00AC6446" w:rsidRDefault="00E85A6E">
      <w:pPr>
        <w:rPr>
          <w:rFonts w:ascii="ＭＳ 明朝" w:eastAsia="ＭＳ 明朝" w:hAnsi="ＭＳ 明朝"/>
          <w:sz w:val="24"/>
          <w:szCs w:val="24"/>
        </w:rPr>
      </w:pPr>
      <w:r>
        <w:rPr>
          <w:rFonts w:ascii="ＭＳ 明朝" w:eastAsia="ＭＳ 明朝" w:hAnsi="ＭＳ 明朝" w:hint="eastAsia"/>
          <w:sz w:val="24"/>
          <w:szCs w:val="24"/>
        </w:rPr>
        <w:t xml:space="preserve">　　※別紙「資料</w:t>
      </w:r>
      <w:r>
        <w:rPr>
          <w:rFonts w:ascii="ＭＳ 明朝" w:eastAsia="ＭＳ 明朝" w:hAnsi="ＭＳ 明朝"/>
          <w:sz w:val="24"/>
          <w:szCs w:val="24"/>
        </w:rPr>
        <w:t>１</w:t>
      </w:r>
      <w:r>
        <w:rPr>
          <w:rFonts w:ascii="ＭＳ 明朝" w:eastAsia="ＭＳ 明朝" w:hAnsi="ＭＳ 明朝" w:hint="eastAsia"/>
          <w:sz w:val="24"/>
          <w:szCs w:val="24"/>
        </w:rPr>
        <w:t>－３」のとおり</w:t>
      </w:r>
    </w:p>
    <w:sectPr w:rsidR="00AC64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46" w:rsidRDefault="00E85A6E">
      <w:pPr>
        <w:spacing w:line="240" w:lineRule="auto"/>
      </w:pPr>
      <w:r>
        <w:separator/>
      </w:r>
    </w:p>
  </w:endnote>
  <w:endnote w:type="continuationSeparator" w:id="0">
    <w:p w:rsidR="00AC6446" w:rsidRDefault="00E85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46" w:rsidRDefault="00E85A6E">
      <w:pPr>
        <w:spacing w:line="240" w:lineRule="auto"/>
      </w:pPr>
      <w:r>
        <w:separator/>
      </w:r>
    </w:p>
  </w:footnote>
  <w:footnote w:type="continuationSeparator" w:id="0">
    <w:p w:rsidR="00AC6446" w:rsidRDefault="00E85A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46"/>
    <w:rsid w:val="00AC6446"/>
    <w:rsid w:val="00E8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43B6AF"/>
  <w15:chartTrackingRefBased/>
  <w15:docId w15:val="{AE78E65A-45EE-4D62-9480-DC86E778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5"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橋爪　彩夏</cp:lastModifiedBy>
  <cp:revision>15</cp:revision>
  <cp:lastPrinted>2023-07-27T04:15:00Z</cp:lastPrinted>
  <dcterms:created xsi:type="dcterms:W3CDTF">2022-05-11T04:31:00Z</dcterms:created>
  <dcterms:modified xsi:type="dcterms:W3CDTF">2025-02-27T00:37:00Z</dcterms:modified>
</cp:coreProperties>
</file>